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626A1" w:rsidRPr="002626A1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0901" cy="5104737"/>
            <wp:effectExtent l="19050" t="0" r="26449" b="66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626A1" w:rsidRPr="002626A1" w:rsidSect="00377A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2626A1"/>
    <w:rsid w:val="00133952"/>
    <w:rsid w:val="0019759D"/>
    <w:rsid w:val="002626A1"/>
    <w:rsid w:val="002B7102"/>
    <w:rsid w:val="00377A17"/>
    <w:rsid w:val="003D7CAF"/>
    <w:rsid w:val="00565B5D"/>
    <w:rsid w:val="005C70E2"/>
    <w:rsid w:val="005D4FD4"/>
    <w:rsid w:val="006A6F1C"/>
    <w:rsid w:val="006F6B3F"/>
    <w:rsid w:val="007A63A0"/>
    <w:rsid w:val="007F32F8"/>
    <w:rsid w:val="00810086"/>
    <w:rsid w:val="00834F48"/>
    <w:rsid w:val="0092077A"/>
    <w:rsid w:val="00927B19"/>
    <w:rsid w:val="00972D24"/>
    <w:rsid w:val="00A675A3"/>
    <w:rsid w:val="00A76295"/>
    <w:rsid w:val="00B75C0E"/>
    <w:rsid w:val="00B973DF"/>
    <w:rsid w:val="00C03565"/>
    <w:rsid w:val="00C36B95"/>
    <w:rsid w:val="00C65563"/>
    <w:rsid w:val="00CF60C8"/>
    <w:rsid w:val="00DC4FD8"/>
    <w:rsid w:val="00E14E63"/>
    <w:rsid w:val="00EC2EF4"/>
    <w:rsid w:val="00F505AC"/>
    <w:rsid w:val="00F64B4D"/>
    <w:rsid w:val="00FC62F0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иностранных студентов в ДГМУ</a:t>
            </a:r>
            <a:r>
              <a:rPr lang="en-US"/>
              <a:t> </a:t>
            </a:r>
            <a:endParaRPr lang="ru-RU"/>
          </a:p>
          <a:p>
            <a:pPr>
              <a:defRPr/>
            </a:pPr>
            <a:r>
              <a:rPr lang="en-US"/>
              <a:t>(</a:t>
            </a:r>
            <a:r>
              <a:rPr lang="ru-RU"/>
              <a:t>за 2018-</a:t>
            </a:r>
            <a:r>
              <a:rPr lang="en-US"/>
              <a:t>2019</a:t>
            </a:r>
            <a:r>
              <a:rPr lang="ru-RU"/>
              <a:t> учебный</a:t>
            </a:r>
            <a:r>
              <a:rPr lang="en-US"/>
              <a:t> </a:t>
            </a:r>
            <a:r>
              <a:rPr lang="ru-RU"/>
              <a:t>год)</a:t>
            </a: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</c:dLbls>
          <c:cat>
            <c:strRef>
              <c:f>Лист1!$A$2:$A$28</c:f>
              <c:strCache>
                <c:ptCount val="27"/>
                <c:pt idx="0">
                  <c:v>Азербайджан</c:v>
                </c:pt>
                <c:pt idx="1">
                  <c:v>Армения</c:v>
                </c:pt>
                <c:pt idx="2">
                  <c:v>Афганистан</c:v>
                </c:pt>
                <c:pt idx="3">
                  <c:v>Бенин</c:v>
                </c:pt>
                <c:pt idx="4">
                  <c:v>Вьетнам</c:v>
                </c:pt>
                <c:pt idx="5">
                  <c:v>Гана</c:v>
                </c:pt>
                <c:pt idx="6">
                  <c:v>Грузия</c:v>
                </c:pt>
                <c:pt idx="7">
                  <c:v>Замбия</c:v>
                </c:pt>
                <c:pt idx="8">
                  <c:v>Йемен</c:v>
                </c:pt>
                <c:pt idx="9">
                  <c:v>Индия</c:v>
                </c:pt>
                <c:pt idx="10">
                  <c:v>Индонезия</c:v>
                </c:pt>
                <c:pt idx="11">
                  <c:v>Иордания</c:v>
                </c:pt>
                <c:pt idx="12">
                  <c:v>Ирак</c:v>
                </c:pt>
                <c:pt idx="13">
                  <c:v>Казахстан</c:v>
                </c:pt>
                <c:pt idx="14">
                  <c:v>Камерун</c:v>
                </c:pt>
                <c:pt idx="15">
                  <c:v>Кот-дивуар</c:v>
                </c:pt>
                <c:pt idx="16">
                  <c:v>Лаос</c:v>
                </c:pt>
                <c:pt idx="17">
                  <c:v>Молдавия</c:v>
                </c:pt>
                <c:pt idx="18">
                  <c:v>Намибия</c:v>
                </c:pt>
                <c:pt idx="19">
                  <c:v>Нигерия</c:v>
                </c:pt>
                <c:pt idx="20">
                  <c:v>Палестина</c:v>
                </c:pt>
                <c:pt idx="21">
                  <c:v>Свазиленд</c:v>
                </c:pt>
                <c:pt idx="22">
                  <c:v>Судан</c:v>
                </c:pt>
                <c:pt idx="23">
                  <c:v>Туркменистан</c:v>
                </c:pt>
                <c:pt idx="24">
                  <c:v>Узбекистан</c:v>
                </c:pt>
                <c:pt idx="25">
                  <c:v>Украина</c:v>
                </c:pt>
                <c:pt idx="26">
                  <c:v>Южная Африка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150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59</c:v>
                </c:pt>
                <c:pt idx="10">
                  <c:v>1</c:v>
                </c:pt>
                <c:pt idx="11">
                  <c:v>4</c:v>
                </c:pt>
                <c:pt idx="12">
                  <c:v>1</c:v>
                </c:pt>
                <c:pt idx="13">
                  <c:v>7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1</c:v>
                </c:pt>
                <c:pt idx="18">
                  <c:v>3</c:v>
                </c:pt>
                <c:pt idx="19">
                  <c:v>3</c:v>
                </c:pt>
                <c:pt idx="20">
                  <c:v>19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7</c:v>
                </c:pt>
                <c:pt idx="25">
                  <c:v>3</c:v>
                </c:pt>
                <c:pt idx="26">
                  <c:v>1</c:v>
                </c:pt>
              </c:numCache>
            </c:numRef>
          </c:val>
        </c:ser>
        <c:gapWidth val="100"/>
        <c:shape val="box"/>
        <c:axId val="84592896"/>
        <c:axId val="86581248"/>
        <c:axId val="0"/>
      </c:bar3DChart>
      <c:catAx>
        <c:axId val="84592896"/>
        <c:scaling>
          <c:orientation val="minMax"/>
        </c:scaling>
        <c:axPos val="b"/>
        <c:tickLblPos val="nextTo"/>
        <c:crossAx val="86581248"/>
        <c:crosses val="autoZero"/>
        <c:auto val="1"/>
        <c:lblAlgn val="ctr"/>
        <c:lblOffset val="100"/>
      </c:catAx>
      <c:valAx>
        <c:axId val="86581248"/>
        <c:scaling>
          <c:orientation val="minMax"/>
        </c:scaling>
        <c:axPos val="l"/>
        <c:majorGridlines/>
        <c:numFmt formatCode="General" sourceLinked="1"/>
        <c:tickLblPos val="nextTo"/>
        <c:crossAx val="8459289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2019-08-07T06:30:00Z</dcterms:created>
  <dcterms:modified xsi:type="dcterms:W3CDTF">2019-08-15T08:38:00Z</dcterms:modified>
</cp:coreProperties>
</file>